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EBEE" w14:textId="3614EF5D" w:rsidR="000B36AF" w:rsidRPr="000B36AF" w:rsidRDefault="000B36AF" w:rsidP="000B36AF">
      <w:pPr>
        <w:jc w:val="center"/>
        <w:rPr>
          <w:rFonts w:ascii="Arial" w:hAnsi="Arial" w:cs="Arial"/>
          <w:sz w:val="32"/>
          <w:szCs w:val="32"/>
        </w:rPr>
      </w:pPr>
      <w:r w:rsidRPr="000B36AF">
        <w:rPr>
          <w:rFonts w:ascii="Arial" w:hAnsi="Arial" w:cs="Arial"/>
          <w:b/>
          <w:bCs/>
          <w:i/>
          <w:iCs/>
          <w:sz w:val="32"/>
          <w:szCs w:val="32"/>
        </w:rPr>
        <w:t>Lake Cumberland Endodontics, PSC</w:t>
      </w:r>
    </w:p>
    <w:p w14:paraId="29C675BB" w14:textId="6A1F4302" w:rsidR="000B36AF" w:rsidRPr="000B36AF" w:rsidRDefault="000B36AF" w:rsidP="000B36AF">
      <w:pPr>
        <w:jc w:val="center"/>
        <w:rPr>
          <w:rFonts w:ascii="Arial" w:hAnsi="Arial" w:cs="Arial"/>
          <w:sz w:val="16"/>
          <w:szCs w:val="16"/>
        </w:rPr>
      </w:pPr>
      <w:r w:rsidRPr="000B36AF">
        <w:rPr>
          <w:rFonts w:ascii="Arial" w:hAnsi="Arial" w:cs="Arial"/>
          <w:sz w:val="16"/>
          <w:szCs w:val="16"/>
        </w:rPr>
        <w:t>C. Shea Cheuvront, DMD</w:t>
      </w:r>
    </w:p>
    <w:p w14:paraId="4889DE96" w14:textId="10F98C66" w:rsidR="000B36AF" w:rsidRPr="000B36AF" w:rsidRDefault="000B36AF" w:rsidP="000B36AF">
      <w:pPr>
        <w:jc w:val="center"/>
        <w:rPr>
          <w:rFonts w:ascii="Arial" w:hAnsi="Arial" w:cs="Arial"/>
          <w:sz w:val="16"/>
          <w:szCs w:val="16"/>
        </w:rPr>
      </w:pPr>
      <w:r w:rsidRPr="000B36AF">
        <w:rPr>
          <w:rFonts w:ascii="Arial" w:hAnsi="Arial" w:cs="Arial"/>
          <w:sz w:val="16"/>
          <w:szCs w:val="16"/>
        </w:rPr>
        <w:t>87 Sarah’s Lane, Somerset, Kentucky, 42503</w:t>
      </w:r>
    </w:p>
    <w:p w14:paraId="211B3E47" w14:textId="5A2CEBC3" w:rsidR="000B36AF" w:rsidRPr="000B36AF" w:rsidRDefault="000B36AF" w:rsidP="000B36AF">
      <w:pPr>
        <w:jc w:val="center"/>
        <w:rPr>
          <w:rFonts w:ascii="Arial" w:hAnsi="Arial" w:cs="Arial"/>
          <w:sz w:val="16"/>
          <w:szCs w:val="16"/>
          <w:u w:val="single"/>
        </w:rPr>
      </w:pPr>
      <w:r w:rsidRPr="000B36AF">
        <w:rPr>
          <w:rFonts w:ascii="Arial" w:hAnsi="Arial" w:cs="Arial"/>
          <w:sz w:val="16"/>
          <w:szCs w:val="16"/>
          <w:u w:val="single"/>
        </w:rPr>
        <w:t>www.lcendo.com</w:t>
      </w:r>
    </w:p>
    <w:p w14:paraId="16FB3AD8" w14:textId="3CEC45CE" w:rsidR="000B36AF" w:rsidRPr="000B36AF" w:rsidRDefault="000B36AF" w:rsidP="000B36AF">
      <w:pPr>
        <w:jc w:val="center"/>
        <w:rPr>
          <w:b/>
          <w:bCs/>
          <w:color w:val="EE0000"/>
          <w:u w:val="single"/>
        </w:rPr>
      </w:pPr>
      <w:r w:rsidRPr="000B36AF">
        <w:rPr>
          <w:b/>
          <w:bCs/>
          <w:color w:val="EE0000"/>
          <w:u w:val="single"/>
        </w:rPr>
        <w:t>NOTICE OF PRIVACY PRACTICES</w:t>
      </w:r>
      <w:r>
        <w:rPr>
          <w:b/>
          <w:bCs/>
          <w:color w:val="EE0000"/>
          <w:u w:val="single"/>
        </w:rPr>
        <w:t xml:space="preserve"> – (HIPPA): </w:t>
      </w:r>
      <w:r w:rsidRPr="000B36AF">
        <w:rPr>
          <w:b/>
          <w:bCs/>
          <w:color w:val="EE0000"/>
        </w:rPr>
        <w:t>Effective Date: February 16, 2026</w:t>
      </w:r>
    </w:p>
    <w:p w14:paraId="3F0D33C1" w14:textId="77777777" w:rsidR="000B36AF" w:rsidRPr="000B36AF" w:rsidRDefault="000B36AF" w:rsidP="000B36AF">
      <w:r w:rsidRPr="000B36AF">
        <w:rPr>
          <w:b/>
          <w:bCs/>
        </w:rPr>
        <w:t>THIS NOTICE DESCRIBES HOW HEALTH INFORMATION ABOUT YOU MAY BE USED AND DISCLOSED AND HOW YOU CAN ACCESS THIS INFORMATION. PLEASE REVIEW IT CAREFULLY.</w:t>
      </w:r>
    </w:p>
    <w:p w14:paraId="7887514C" w14:textId="77777777" w:rsidR="000B36AF" w:rsidRPr="000B36AF" w:rsidRDefault="000B36AF" w:rsidP="000B36AF">
      <w:r w:rsidRPr="000B36AF">
        <w:t>We are required by law to protect the privacy of your protected health information (PHI), provide this Notice of our legal duties and privacy practices, and notify you following a breach of unsecured PHI. We must follow the practices described in this Notice while it is in effect. We reserve the right to change our privacy practices and make revised provisions effective for all PHI we maintain. Updated Notices will be posted in our office and available upon request.</w:t>
      </w:r>
    </w:p>
    <w:p w14:paraId="7A46B6CF" w14:textId="77777777" w:rsidR="000B36AF" w:rsidRPr="000B36AF" w:rsidRDefault="000B36AF" w:rsidP="000B36AF">
      <w:r w:rsidRPr="000B36AF">
        <w:pict w14:anchorId="6F5BAA9B">
          <v:rect id="_x0000_i1049" style="width:0;height:1.5pt" o:hralign="center" o:hrstd="t" o:hr="t" fillcolor="#a0a0a0" stroked="f"/>
        </w:pict>
      </w:r>
    </w:p>
    <w:p w14:paraId="05E01A1D" w14:textId="77777777" w:rsidR="000B36AF" w:rsidRPr="000B36AF" w:rsidRDefault="000B36AF" w:rsidP="000B36AF">
      <w:pPr>
        <w:rPr>
          <w:b/>
          <w:bCs/>
        </w:rPr>
      </w:pPr>
      <w:r w:rsidRPr="000B36AF">
        <w:rPr>
          <w:b/>
          <w:bCs/>
        </w:rPr>
        <w:t>HOW WE MAY USE AND DISCLOSE YOUR HEALTH INFORMATION</w:t>
      </w:r>
    </w:p>
    <w:p w14:paraId="01568835" w14:textId="77777777" w:rsidR="000B36AF" w:rsidRPr="000B36AF" w:rsidRDefault="000B36AF" w:rsidP="000B36AF">
      <w:r w:rsidRPr="000B36AF">
        <w:rPr>
          <w:b/>
          <w:bCs/>
        </w:rPr>
        <w:t>Treatment:</w:t>
      </w:r>
      <w:r w:rsidRPr="000B36AF">
        <w:t xml:space="preserve"> To provide, coordinate, or manage your care (e.g., sharing information with specialists).</w:t>
      </w:r>
    </w:p>
    <w:p w14:paraId="6FB3F92C" w14:textId="77777777" w:rsidR="000B36AF" w:rsidRPr="000B36AF" w:rsidRDefault="000B36AF" w:rsidP="000B36AF">
      <w:r w:rsidRPr="000B36AF">
        <w:rPr>
          <w:b/>
          <w:bCs/>
        </w:rPr>
        <w:t>Payment:</w:t>
      </w:r>
      <w:r w:rsidRPr="000B36AF">
        <w:t xml:space="preserve"> To obtain reimbursement for services (e.g., billing your dental plan, claims processing).</w:t>
      </w:r>
    </w:p>
    <w:p w14:paraId="666AF55C" w14:textId="77777777" w:rsidR="000B36AF" w:rsidRPr="000B36AF" w:rsidRDefault="000B36AF" w:rsidP="000B36AF">
      <w:r w:rsidRPr="000B36AF">
        <w:rPr>
          <w:b/>
          <w:bCs/>
        </w:rPr>
        <w:t>Healthcare Operations:</w:t>
      </w:r>
      <w:r w:rsidRPr="000B36AF">
        <w:t xml:space="preserve"> For business activities such as quality assessment, training, licensing, and compliance.</w:t>
      </w:r>
    </w:p>
    <w:p w14:paraId="3053B0DA" w14:textId="77777777" w:rsidR="000B36AF" w:rsidRPr="000B36AF" w:rsidRDefault="000B36AF" w:rsidP="000B36AF">
      <w:r w:rsidRPr="000B36AF">
        <w:rPr>
          <w:b/>
          <w:bCs/>
        </w:rPr>
        <w:t>Individuals Involved in Your Care:</w:t>
      </w:r>
      <w:r w:rsidRPr="000B36AF">
        <w:t xml:space="preserve"> To family members, friends, or representatives involved in your care or payment, as permitted by law.</w:t>
      </w:r>
    </w:p>
    <w:p w14:paraId="15B45A4A" w14:textId="77777777" w:rsidR="000B36AF" w:rsidRPr="000B36AF" w:rsidRDefault="000B36AF" w:rsidP="000B36AF">
      <w:r w:rsidRPr="000B36AF">
        <w:rPr>
          <w:b/>
          <w:bCs/>
        </w:rPr>
        <w:t>Disaster Relief:</w:t>
      </w:r>
      <w:r w:rsidRPr="000B36AF">
        <w:t xml:space="preserve"> To assist in disaster relief efforts.</w:t>
      </w:r>
    </w:p>
    <w:p w14:paraId="42F87A1C" w14:textId="77777777" w:rsidR="000B36AF" w:rsidRPr="000B36AF" w:rsidRDefault="000B36AF" w:rsidP="000B36AF">
      <w:r w:rsidRPr="000B36AF">
        <w:rPr>
          <w:b/>
          <w:bCs/>
        </w:rPr>
        <w:t>As Required by Law:</w:t>
      </w:r>
      <w:r w:rsidRPr="000B36AF">
        <w:t xml:space="preserve"> When required by federal or state law.</w:t>
      </w:r>
    </w:p>
    <w:p w14:paraId="51716AF9" w14:textId="77777777" w:rsidR="000B36AF" w:rsidRPr="000B36AF" w:rsidRDefault="000B36AF" w:rsidP="000B36AF">
      <w:r w:rsidRPr="000B36AF">
        <w:rPr>
          <w:b/>
          <w:bCs/>
        </w:rPr>
        <w:t>Public Health &amp; Safety:</w:t>
      </w:r>
      <w:r w:rsidRPr="000B36AF">
        <w:t xml:space="preserve"> To prevent or control disease, report abuse/neglect, report reactions to medications or device issues, notify of recalls or exposures, and report domestic violence when required.</w:t>
      </w:r>
    </w:p>
    <w:p w14:paraId="0721B464" w14:textId="77777777" w:rsidR="000B36AF" w:rsidRPr="000B36AF" w:rsidRDefault="000B36AF" w:rsidP="000B36AF">
      <w:r w:rsidRPr="000B36AF">
        <w:rPr>
          <w:b/>
          <w:bCs/>
        </w:rPr>
        <w:t>Health Oversight &amp; Government Activities:</w:t>
      </w:r>
      <w:r w:rsidRPr="000B36AF">
        <w:t xml:space="preserve"> For audits, investigations, inspections, licensure, national security, correctional institutions, workers’ compensation, and as requested by HHS for HIPAA compliance.</w:t>
      </w:r>
    </w:p>
    <w:p w14:paraId="33122351" w14:textId="77777777" w:rsidR="000B36AF" w:rsidRPr="000B36AF" w:rsidRDefault="000B36AF" w:rsidP="000B36AF">
      <w:r w:rsidRPr="000B36AF">
        <w:rPr>
          <w:b/>
          <w:bCs/>
        </w:rPr>
        <w:t>Law Enforcement &amp; Legal Proceedings:</w:t>
      </w:r>
      <w:r w:rsidRPr="000B36AF">
        <w:t xml:space="preserve"> In response to court orders, subpoenas, or other lawful processes.</w:t>
      </w:r>
    </w:p>
    <w:p w14:paraId="59E19CBC" w14:textId="77777777" w:rsidR="000B36AF" w:rsidRPr="000B36AF" w:rsidRDefault="000B36AF" w:rsidP="000B36AF">
      <w:r w:rsidRPr="000B36AF">
        <w:rPr>
          <w:b/>
          <w:bCs/>
        </w:rPr>
        <w:t>Research:</w:t>
      </w:r>
      <w:r w:rsidRPr="000B36AF">
        <w:t xml:space="preserve"> When approved by an Institutional Review Board with privacy protections.</w:t>
      </w:r>
    </w:p>
    <w:p w14:paraId="3F46CEFC" w14:textId="77777777" w:rsidR="000B36AF" w:rsidRPr="000B36AF" w:rsidRDefault="000B36AF" w:rsidP="000B36AF">
      <w:r w:rsidRPr="000B36AF">
        <w:rPr>
          <w:b/>
          <w:bCs/>
        </w:rPr>
        <w:lastRenderedPageBreak/>
        <w:t>Coroners, Medical Examiners &amp; Funeral Directors:</w:t>
      </w:r>
      <w:r w:rsidRPr="000B36AF">
        <w:t xml:space="preserve"> As necessary to carry out their duties.</w:t>
      </w:r>
    </w:p>
    <w:p w14:paraId="1A7F6899" w14:textId="77777777" w:rsidR="000B36AF" w:rsidRPr="000B36AF" w:rsidRDefault="000B36AF" w:rsidP="000B36AF">
      <w:r w:rsidRPr="000B36AF">
        <w:rPr>
          <w:b/>
          <w:bCs/>
        </w:rPr>
        <w:t>Fundraising:</w:t>
      </w:r>
      <w:r w:rsidRPr="000B36AF">
        <w:t xml:space="preserve"> We may contact you about practice-related fundraising. You may opt out.</w:t>
      </w:r>
    </w:p>
    <w:p w14:paraId="24DC8143" w14:textId="77777777" w:rsidR="000B36AF" w:rsidRPr="000B36AF" w:rsidRDefault="000B36AF" w:rsidP="000B36AF">
      <w:r w:rsidRPr="000B36AF">
        <w:rPr>
          <w:b/>
          <w:bCs/>
        </w:rPr>
        <w:t>Special Protections:</w:t>
      </w:r>
      <w:r w:rsidRPr="000B36AF">
        <w:t xml:space="preserve"> Certain records (HIV, genetic, mental health, substance use disorder records under 42 CFR Part 2) receive additional confidentiality protections. Part 2 records will not be used or disclosed in legal proceedings against you without your written consent or court order.</w:t>
      </w:r>
    </w:p>
    <w:p w14:paraId="3A57AC59" w14:textId="77777777" w:rsidR="000B36AF" w:rsidRPr="000B36AF" w:rsidRDefault="000B36AF" w:rsidP="000B36AF">
      <w:r w:rsidRPr="000B36AF">
        <w:rPr>
          <w:b/>
          <w:bCs/>
        </w:rPr>
        <w:t>Other Uses:</w:t>
      </w:r>
      <w:r w:rsidRPr="000B36AF">
        <w:t xml:space="preserve"> Marketing, sale of PHI, or disclosure of psychotherapy notes requires your written authorization. You may revoke authorization in writing at any time.</w:t>
      </w:r>
    </w:p>
    <w:p w14:paraId="507BB756" w14:textId="77777777" w:rsidR="000B36AF" w:rsidRPr="000B36AF" w:rsidRDefault="000B36AF" w:rsidP="000B36AF">
      <w:r w:rsidRPr="000B36AF">
        <w:pict w14:anchorId="2AACE523">
          <v:rect id="_x0000_i1050" style="width:0;height:1.5pt" o:hralign="center" o:hrstd="t" o:hr="t" fillcolor="#a0a0a0" stroked="f"/>
        </w:pict>
      </w:r>
    </w:p>
    <w:p w14:paraId="35353263" w14:textId="77777777" w:rsidR="000B36AF" w:rsidRPr="000B36AF" w:rsidRDefault="000B36AF" w:rsidP="000B36AF">
      <w:pPr>
        <w:rPr>
          <w:b/>
          <w:bCs/>
        </w:rPr>
      </w:pPr>
      <w:r w:rsidRPr="000B36AF">
        <w:rPr>
          <w:b/>
          <w:bCs/>
        </w:rPr>
        <w:t>YOUR RIGHTS REGARDING YOUR HEALTH INFORMATION</w:t>
      </w:r>
    </w:p>
    <w:p w14:paraId="54DAD921" w14:textId="77777777" w:rsidR="000B36AF" w:rsidRPr="000B36AF" w:rsidRDefault="000B36AF" w:rsidP="000B36AF">
      <w:r w:rsidRPr="000B36AF">
        <w:t>You have the right to:</w:t>
      </w:r>
    </w:p>
    <w:p w14:paraId="6AC8A6AB" w14:textId="77777777" w:rsidR="000B36AF" w:rsidRPr="000B36AF" w:rsidRDefault="000B36AF" w:rsidP="000B36AF">
      <w:pPr>
        <w:numPr>
          <w:ilvl w:val="0"/>
          <w:numId w:val="1"/>
        </w:numPr>
      </w:pPr>
      <w:r w:rsidRPr="000B36AF">
        <w:rPr>
          <w:b/>
          <w:bCs/>
        </w:rPr>
        <w:t>Access and obtain copies</w:t>
      </w:r>
      <w:r w:rsidRPr="000B36AF">
        <w:t xml:space="preserve"> of your PHI (paper or electronic). Fees may apply.</w:t>
      </w:r>
    </w:p>
    <w:p w14:paraId="2EAEEC9A" w14:textId="77777777" w:rsidR="000B36AF" w:rsidRPr="000B36AF" w:rsidRDefault="000B36AF" w:rsidP="000B36AF">
      <w:pPr>
        <w:numPr>
          <w:ilvl w:val="0"/>
          <w:numId w:val="1"/>
        </w:numPr>
      </w:pPr>
      <w:r w:rsidRPr="000B36AF">
        <w:rPr>
          <w:b/>
          <w:bCs/>
        </w:rPr>
        <w:t>Request an amendment</w:t>
      </w:r>
      <w:r w:rsidRPr="000B36AF">
        <w:t xml:space="preserve"> to your PHI (in writing, with explanation).</w:t>
      </w:r>
    </w:p>
    <w:p w14:paraId="07B79ACD" w14:textId="77777777" w:rsidR="000B36AF" w:rsidRPr="000B36AF" w:rsidRDefault="000B36AF" w:rsidP="000B36AF">
      <w:pPr>
        <w:numPr>
          <w:ilvl w:val="0"/>
          <w:numId w:val="1"/>
        </w:numPr>
      </w:pPr>
      <w:r w:rsidRPr="000B36AF">
        <w:rPr>
          <w:b/>
          <w:bCs/>
        </w:rPr>
        <w:t>Request an accounting of disclosures</w:t>
      </w:r>
      <w:r w:rsidRPr="000B36AF">
        <w:t xml:space="preserve"> (certain limitations apply).</w:t>
      </w:r>
    </w:p>
    <w:p w14:paraId="29BA6F8F" w14:textId="77777777" w:rsidR="000B36AF" w:rsidRPr="000B36AF" w:rsidRDefault="000B36AF" w:rsidP="000B36AF">
      <w:pPr>
        <w:numPr>
          <w:ilvl w:val="0"/>
          <w:numId w:val="1"/>
        </w:numPr>
      </w:pPr>
      <w:r w:rsidRPr="000B36AF">
        <w:rPr>
          <w:b/>
          <w:bCs/>
        </w:rPr>
        <w:t>Request restrictions</w:t>
      </w:r>
      <w:r w:rsidRPr="000B36AF">
        <w:t xml:space="preserve"> on certain uses/disclosures. We must agree when you pay in full out-of-pocket and request restriction from your health plan.</w:t>
      </w:r>
    </w:p>
    <w:p w14:paraId="7056868E" w14:textId="77777777" w:rsidR="000B36AF" w:rsidRPr="000B36AF" w:rsidRDefault="000B36AF" w:rsidP="000B36AF">
      <w:pPr>
        <w:numPr>
          <w:ilvl w:val="0"/>
          <w:numId w:val="1"/>
        </w:numPr>
      </w:pPr>
      <w:r w:rsidRPr="000B36AF">
        <w:rPr>
          <w:b/>
          <w:bCs/>
        </w:rPr>
        <w:t>Request confidential communications</w:t>
      </w:r>
      <w:r w:rsidRPr="000B36AF">
        <w:t xml:space="preserve"> by alternative means or locations.</w:t>
      </w:r>
    </w:p>
    <w:p w14:paraId="4274EBF9" w14:textId="77777777" w:rsidR="000B36AF" w:rsidRPr="000B36AF" w:rsidRDefault="000B36AF" w:rsidP="000B36AF">
      <w:pPr>
        <w:numPr>
          <w:ilvl w:val="0"/>
          <w:numId w:val="1"/>
        </w:numPr>
      </w:pPr>
      <w:r w:rsidRPr="000B36AF">
        <w:rPr>
          <w:b/>
          <w:bCs/>
        </w:rPr>
        <w:t>Receive notification of a breach</w:t>
      </w:r>
      <w:r w:rsidRPr="000B36AF">
        <w:t xml:space="preserve"> of unsecured PHI.</w:t>
      </w:r>
    </w:p>
    <w:p w14:paraId="1A8D8900" w14:textId="77777777" w:rsidR="000B36AF" w:rsidRPr="000B36AF" w:rsidRDefault="000B36AF" w:rsidP="000B36AF">
      <w:pPr>
        <w:numPr>
          <w:ilvl w:val="0"/>
          <w:numId w:val="1"/>
        </w:numPr>
      </w:pPr>
      <w:r w:rsidRPr="000B36AF">
        <w:rPr>
          <w:b/>
          <w:bCs/>
        </w:rPr>
        <w:t>Receive a paper copy</w:t>
      </w:r>
      <w:r w:rsidRPr="000B36AF">
        <w:t xml:space="preserve"> of this Notice upon request.</w:t>
      </w:r>
    </w:p>
    <w:p w14:paraId="42CD7ACC" w14:textId="77777777" w:rsidR="000B36AF" w:rsidRPr="000B36AF" w:rsidRDefault="000B36AF" w:rsidP="000B36AF">
      <w:r w:rsidRPr="000B36AF">
        <w:pict w14:anchorId="45DF27B0">
          <v:rect id="_x0000_i1051" style="width:0;height:1.5pt" o:hralign="center" o:hrstd="t" o:hr="t" fillcolor="#a0a0a0" stroked="f"/>
        </w:pict>
      </w:r>
    </w:p>
    <w:p w14:paraId="5FECCDFB" w14:textId="77777777" w:rsidR="000B36AF" w:rsidRPr="000B36AF" w:rsidRDefault="000B36AF" w:rsidP="000B36AF">
      <w:pPr>
        <w:rPr>
          <w:b/>
          <w:bCs/>
        </w:rPr>
      </w:pPr>
      <w:r w:rsidRPr="000B36AF">
        <w:rPr>
          <w:b/>
          <w:bCs/>
        </w:rPr>
        <w:t>QUESTIONS OR COMPLAINTS</w:t>
      </w:r>
    </w:p>
    <w:p w14:paraId="1AA70947" w14:textId="77777777" w:rsidR="000B36AF" w:rsidRPr="000B36AF" w:rsidRDefault="000B36AF" w:rsidP="000B36AF">
      <w:r w:rsidRPr="000B36AF">
        <w:t>If you have questions, concerns, or believe your privacy rights have been violated, contact us using the information below. You may also file a complaint with the U.S. Department of Health and Human Services. We will not retaliate against you for filing a complaint.</w:t>
      </w:r>
    </w:p>
    <w:p w14:paraId="151B9C46" w14:textId="77777777" w:rsidR="000B36AF" w:rsidRPr="000B36AF" w:rsidRDefault="000B36AF" w:rsidP="000B36AF">
      <w:pPr>
        <w:rPr>
          <w:sz w:val="24"/>
          <w:szCs w:val="24"/>
        </w:rPr>
      </w:pPr>
      <w:r w:rsidRPr="000B36AF">
        <w:rPr>
          <w:sz w:val="24"/>
          <w:szCs w:val="24"/>
        </w:rPr>
        <w:pict w14:anchorId="1D0258B7">
          <v:rect id="_x0000_i1052" style="width:0;height:1.5pt" o:hralign="center" o:hrstd="t" o:hr="t" fillcolor="#a0a0a0" stroked="f"/>
        </w:pict>
      </w:r>
    </w:p>
    <w:p w14:paraId="5F46D4BD" w14:textId="77777777" w:rsidR="000B36AF" w:rsidRPr="000B36AF" w:rsidRDefault="000B36AF" w:rsidP="000B36AF">
      <w:pPr>
        <w:rPr>
          <w:sz w:val="24"/>
          <w:szCs w:val="24"/>
        </w:rPr>
      </w:pPr>
      <w:r w:rsidRPr="000B36AF">
        <w:rPr>
          <w:b/>
          <w:bCs/>
          <w:sz w:val="24"/>
          <w:szCs w:val="24"/>
        </w:rPr>
        <w:t>Privacy Official:</w:t>
      </w:r>
      <w:r w:rsidRPr="000B36AF">
        <w:rPr>
          <w:sz w:val="24"/>
          <w:szCs w:val="24"/>
        </w:rPr>
        <w:t xml:space="preserve"> __________________________________________</w:t>
      </w:r>
    </w:p>
    <w:p w14:paraId="3B5C300D" w14:textId="77777777" w:rsidR="000B36AF" w:rsidRPr="000B36AF" w:rsidRDefault="000B36AF" w:rsidP="000B36AF">
      <w:pPr>
        <w:rPr>
          <w:sz w:val="24"/>
          <w:szCs w:val="24"/>
        </w:rPr>
      </w:pPr>
      <w:r w:rsidRPr="000B36AF">
        <w:rPr>
          <w:b/>
          <w:bCs/>
          <w:sz w:val="24"/>
          <w:szCs w:val="24"/>
        </w:rPr>
        <w:t>Phone:</w:t>
      </w:r>
      <w:r w:rsidRPr="000B36AF">
        <w:rPr>
          <w:sz w:val="24"/>
          <w:szCs w:val="24"/>
        </w:rPr>
        <w:t xml:space="preserve"> ______________________ </w:t>
      </w:r>
      <w:r w:rsidRPr="000B36AF">
        <w:rPr>
          <w:b/>
          <w:bCs/>
          <w:sz w:val="24"/>
          <w:szCs w:val="24"/>
        </w:rPr>
        <w:t>Fax:</w:t>
      </w:r>
      <w:r w:rsidRPr="000B36AF">
        <w:rPr>
          <w:sz w:val="24"/>
          <w:szCs w:val="24"/>
        </w:rPr>
        <w:t xml:space="preserve"> ______________________</w:t>
      </w:r>
    </w:p>
    <w:p w14:paraId="5AAC30F2" w14:textId="77777777" w:rsidR="000B36AF" w:rsidRPr="000B36AF" w:rsidRDefault="000B36AF" w:rsidP="000B36AF">
      <w:pPr>
        <w:rPr>
          <w:sz w:val="24"/>
          <w:szCs w:val="24"/>
        </w:rPr>
      </w:pPr>
      <w:r w:rsidRPr="000B36AF">
        <w:rPr>
          <w:b/>
          <w:bCs/>
          <w:sz w:val="24"/>
          <w:szCs w:val="24"/>
        </w:rPr>
        <w:t>Address:</w:t>
      </w:r>
      <w:r w:rsidRPr="000B36AF">
        <w:rPr>
          <w:sz w:val="24"/>
          <w:szCs w:val="24"/>
        </w:rPr>
        <w:t xml:space="preserve"> _________________________________________________</w:t>
      </w:r>
    </w:p>
    <w:p w14:paraId="6FE6E7BB" w14:textId="06D74D63" w:rsidR="000B36AF" w:rsidRPr="000B36AF" w:rsidRDefault="000B36AF">
      <w:pPr>
        <w:rPr>
          <w:sz w:val="24"/>
          <w:szCs w:val="24"/>
        </w:rPr>
      </w:pPr>
      <w:r w:rsidRPr="000B36AF">
        <w:rPr>
          <w:b/>
          <w:bCs/>
          <w:sz w:val="24"/>
          <w:szCs w:val="24"/>
        </w:rPr>
        <w:t>Email:</w:t>
      </w:r>
      <w:r w:rsidRPr="000B36AF">
        <w:rPr>
          <w:sz w:val="24"/>
          <w:szCs w:val="24"/>
        </w:rPr>
        <w:t xml:space="preserve"> ________________________________________________</w:t>
      </w:r>
    </w:p>
    <w:sectPr w:rsidR="000B36AF" w:rsidRPr="000B3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5D86"/>
    <w:multiLevelType w:val="multilevel"/>
    <w:tmpl w:val="52DE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76094"/>
    <w:multiLevelType w:val="hybridMultilevel"/>
    <w:tmpl w:val="D682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19481">
    <w:abstractNumId w:val="0"/>
  </w:num>
  <w:num w:numId="2" w16cid:durableId="77752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AF"/>
    <w:rsid w:val="000B36AF"/>
    <w:rsid w:val="009006FA"/>
    <w:rsid w:val="00B0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F5C4"/>
  <w15:chartTrackingRefBased/>
  <w15:docId w15:val="{DCF8FF81-8EBC-4723-941C-60CB35A5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6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36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36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36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36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3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36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36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36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36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3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6AF"/>
    <w:rPr>
      <w:rFonts w:eastAsiaTheme="majorEastAsia" w:cstheme="majorBidi"/>
      <w:color w:val="272727" w:themeColor="text1" w:themeTint="D8"/>
    </w:rPr>
  </w:style>
  <w:style w:type="paragraph" w:styleId="Title">
    <w:name w:val="Title"/>
    <w:basedOn w:val="Normal"/>
    <w:next w:val="Normal"/>
    <w:link w:val="TitleChar"/>
    <w:uiPriority w:val="10"/>
    <w:qFormat/>
    <w:rsid w:val="000B3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6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6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6AF"/>
    <w:rPr>
      <w:i/>
      <w:iCs/>
      <w:color w:val="404040" w:themeColor="text1" w:themeTint="BF"/>
    </w:rPr>
  </w:style>
  <w:style w:type="paragraph" w:styleId="ListParagraph">
    <w:name w:val="List Paragraph"/>
    <w:basedOn w:val="Normal"/>
    <w:uiPriority w:val="34"/>
    <w:qFormat/>
    <w:rsid w:val="000B36AF"/>
    <w:pPr>
      <w:ind w:left="720"/>
      <w:contextualSpacing/>
    </w:pPr>
  </w:style>
  <w:style w:type="character" w:styleId="IntenseEmphasis">
    <w:name w:val="Intense Emphasis"/>
    <w:basedOn w:val="DefaultParagraphFont"/>
    <w:uiPriority w:val="21"/>
    <w:qFormat/>
    <w:rsid w:val="000B36AF"/>
    <w:rPr>
      <w:i/>
      <w:iCs/>
      <w:color w:val="365F91" w:themeColor="accent1" w:themeShade="BF"/>
    </w:rPr>
  </w:style>
  <w:style w:type="paragraph" w:styleId="IntenseQuote">
    <w:name w:val="Intense Quote"/>
    <w:basedOn w:val="Normal"/>
    <w:next w:val="Normal"/>
    <w:link w:val="IntenseQuoteChar"/>
    <w:uiPriority w:val="30"/>
    <w:qFormat/>
    <w:rsid w:val="000B36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36AF"/>
    <w:rPr>
      <w:i/>
      <w:iCs/>
      <w:color w:val="365F91" w:themeColor="accent1" w:themeShade="BF"/>
    </w:rPr>
  </w:style>
  <w:style w:type="character" w:styleId="IntenseReference">
    <w:name w:val="Intense Reference"/>
    <w:basedOn w:val="DefaultParagraphFont"/>
    <w:uiPriority w:val="32"/>
    <w:qFormat/>
    <w:rsid w:val="000B36A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Shea Cheuvront</dc:creator>
  <cp:keywords/>
  <dc:description/>
  <cp:lastModifiedBy>Dr. Shea Cheuvront</cp:lastModifiedBy>
  <cp:revision>1</cp:revision>
  <cp:lastPrinted>2026-02-17T14:59:00Z</cp:lastPrinted>
  <dcterms:created xsi:type="dcterms:W3CDTF">2026-02-17T14:51:00Z</dcterms:created>
  <dcterms:modified xsi:type="dcterms:W3CDTF">2026-02-17T15:02:00Z</dcterms:modified>
</cp:coreProperties>
</file>